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tabs>
          <w:tab w:val="clear" w:pos="708"/>
          <w:tab w:val="left" w:pos="432" w:leader="none"/>
        </w:tabs>
        <w:spacing w:before="240" w:after="0"/>
        <w:ind w:hanging="0" w:start="0" w:end="5"/>
        <w:jc w:val="start"/>
        <w:rPr>
          <w:rFonts w:ascii="Tahoma" w:hAnsi="Tahoma"/>
          <w:color w:val="000000"/>
          <w:sz w:val="20"/>
          <w:szCs w:val="20"/>
        </w:rPr>
      </w:pPr>
      <w:bookmarkStart w:id="0" w:name="_Hlk97286785_kopia_1"/>
      <w:bookmarkEnd w:id="0"/>
      <w:r>
        <w:rPr>
          <w:rFonts w:ascii="Tahoma" w:hAnsi="Tahoma"/>
          <w:b/>
          <w:bCs/>
          <w:i/>
          <w:iCs/>
          <w:color w:val="000000"/>
          <w:sz w:val="20"/>
          <w:szCs w:val="20"/>
        </w:rPr>
        <w:t>Znak sprawy; ZP/5/PN/26                                                                                                                                                     Załącznik nr 1.1 do SWZ</w:t>
      </w:r>
    </w:p>
    <w:p>
      <w:pPr>
        <w:pStyle w:val="Normal"/>
        <w:spacing w:lineRule="atLeast" w:line="102" w:before="0" w:after="0"/>
        <w:jc w:val="end"/>
        <w:rPr>
          <w:rFonts w:ascii="Tahoma" w:hAnsi="Tahoma" w:cs="Cambria"/>
          <w:b/>
          <w:bCs/>
          <w:color w:val="00000A"/>
          <w:sz w:val="21"/>
          <w:szCs w:val="21"/>
          <w:shd w:fill="FFFFFF" w:val="clear"/>
        </w:rPr>
      </w:pPr>
      <w:r>
        <w:rPr>
          <w:rFonts w:cs="Cambria" w:ascii="Tahoma" w:hAnsi="Tahoma"/>
          <w:b/>
          <w:bCs/>
          <w:color w:val="00000A"/>
          <w:sz w:val="21"/>
          <w:szCs w:val="21"/>
          <w:shd w:fill="FFFFFF" w:val="clear"/>
        </w:rPr>
      </w:r>
    </w:p>
    <w:p>
      <w:pPr>
        <w:pStyle w:val="Normal"/>
        <w:spacing w:lineRule="auto" w:line="276" w:before="0" w:after="120"/>
        <w:jc w:val="center"/>
        <w:rPr>
          <w:rFonts w:ascii="Tahoma" w:hAnsi="Tahoma"/>
          <w:sz w:val="21"/>
          <w:szCs w:val="21"/>
        </w:rPr>
      </w:pPr>
      <w:r>
        <w:rPr>
          <w:rFonts w:cs="Times New Roman" w:ascii="Tahoma" w:hAnsi="Tahoma"/>
          <w:sz w:val="21"/>
          <w:szCs w:val="21"/>
          <w:lang w:bidi="ar-SA"/>
        </w:rPr>
        <w:t>Dotyczy przetargu nieograniczonego pn:</w:t>
      </w:r>
    </w:p>
    <w:p>
      <w:pPr>
        <w:pStyle w:val="Normal"/>
        <w:spacing w:lineRule="auto" w:line="276" w:before="0" w:after="120"/>
        <w:jc w:val="center"/>
        <w:rPr>
          <w:rFonts w:ascii="Tahoma" w:hAnsi="Tahoma"/>
          <w:sz w:val="21"/>
          <w:szCs w:val="21"/>
          <w:highlight w:val="none"/>
          <w:shd w:fill="FFFFFF" w:val="clear"/>
        </w:rPr>
      </w:pP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,,Zakup licencji AMMS wraz z </w:t>
      </w: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nadzorem i wdrożeniem, </w:t>
      </w: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integracją systemów informatycznych </w:t>
      </w:r>
      <w:r>
        <w:rPr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>Szpitala Powiatowego im. Tadeusza Malińskiego w Śremie sp. z o. o.”</w:t>
      </w:r>
    </w:p>
    <w:p>
      <w:pPr>
        <w:pStyle w:val="Normal"/>
        <w:bidi w:val="0"/>
        <w:jc w:val="center"/>
        <w:rPr>
          <w:rFonts w:ascii="Tahoma" w:hAnsi="Tahoma"/>
          <w:sz w:val="21"/>
          <w:szCs w:val="21"/>
        </w:rPr>
      </w:pPr>
      <w:r>
        <w:rPr>
          <w:rFonts w:eastAsia="" w:cs="Tahoma" w:ascii="Tahoma" w:hAnsi="Tahom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 </w:t>
      </w:r>
      <w:r>
        <w:rPr>
          <w:rFonts w:eastAsia="" w:cs="Tahoma" w:ascii="Tahoma" w:hAnsi="Tahom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>przedsięwzięcie pn.:</w:t>
      </w:r>
    </w:p>
    <w:p>
      <w:pPr>
        <w:pStyle w:val="Normal"/>
        <w:bidi w:val="0"/>
        <w:jc w:val="center"/>
        <w:rPr/>
      </w:pPr>
      <w:r>
        <w:rPr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Transformacja cyfrowa Szpitala Powiatowego im. Tadeusza Malińskiego w Śremie sp. z o. o., </w:t>
      </w: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realizowane w ramach </w:t>
      </w:r>
      <w:r>
        <w:rPr>
          <w:rStyle w:val="Strong"/>
          <w:rFonts w:eastAsia="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1B1B1B"/>
          <w:spacing w:val="0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>Krajowego Planu Odbudowy i Zwiększania Odporności -</w:t>
      </w:r>
      <w:r>
        <w:rPr>
          <w:rStyle w:val="Strong"/>
          <w:rFonts w:cs="Tahoma" w:ascii="Tahoma" w:hAnsi="Tahoma"/>
          <w:b/>
          <w:i w:val="false"/>
          <w:caps w:val="false"/>
          <w:smallCaps w:val="false"/>
          <w:color w:val="1B1B1B"/>
          <w:spacing w:val="0"/>
          <w:sz w:val="21"/>
          <w:szCs w:val="21"/>
          <w:shd w:fill="FFFFFF" w:val="clear"/>
        </w:rPr>
        <w:t>Komponent D „Efektywność, dostępność i jakość systemu ochrony zdrowia” Inwestycja D1.1.2 „Przyspieszenie procesów transformacji cyfrowej ochrony zdrowia poprzez dalszy rozwój usług cyfrowych w ochronie zdrowia”</w:t>
      </w:r>
    </w:p>
    <w:p>
      <w:pPr>
        <w:pStyle w:val="Normal"/>
        <w:bidi w:val="0"/>
        <w:jc w:val="both"/>
        <w:rPr>
          <w:rFonts w:ascii="Tahoma" w:hAnsi="Tahoma" w:eastAsia="" w:cs="Tahoma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</w:pPr>
      <w:r>
        <w:rPr>
          <w:rFonts w:eastAsia="" w:cs="Tahoma" w:ascii="Tahoma" w:hAnsi="Tahom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454"/>
        <w:gridCol w:w="1044"/>
        <w:gridCol w:w="4280"/>
        <w:gridCol w:w="2562"/>
        <w:gridCol w:w="2151"/>
        <w:gridCol w:w="795"/>
      </w:tblGrid>
      <w:tr>
        <w:trPr/>
        <w:tc>
          <w:tcPr>
            <w:tcW w:w="1428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spacing w:lineRule="atLeast" w:line="102" w:before="280" w:after="119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Cambria" w:ascii="Tahoma" w:hAnsi="Tahoma"/>
                <w:b/>
                <w:bCs/>
                <w:color w:val="00000A"/>
                <w:sz w:val="21"/>
                <w:szCs w:val="21"/>
                <w:u w:val="single"/>
              </w:rPr>
              <w:t>PAKIET NR 2</w:t>
            </w:r>
          </w:p>
          <w:p>
            <w:pPr>
              <w:pStyle w:val="Zawartotabeliuser"/>
              <w:spacing w:lineRule="atLeast" w:line="102" w:before="280" w:after="119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Cambria" w:ascii="Tahoma" w:hAnsi="Tahoma"/>
                <w:b/>
                <w:bCs/>
                <w:color w:val="00000A"/>
                <w:sz w:val="21"/>
                <w:szCs w:val="21"/>
              </w:rPr>
              <w:t>ARKUSZ CENOWY</w:t>
            </w:r>
          </w:p>
        </w:tc>
      </w:tr>
      <w:tr>
        <w:trPr/>
        <w:tc>
          <w:tcPr>
            <w:tcW w:w="345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Nazwa</w:t>
            </w:r>
          </w:p>
        </w:tc>
        <w:tc>
          <w:tcPr>
            <w:tcW w:w="104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Ilość</w:t>
            </w:r>
          </w:p>
        </w:tc>
        <w:tc>
          <w:tcPr>
            <w:tcW w:w="42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  <w:em w:val="none"/>
                <w:lang w:val="pl-PL" w:bidi="ar-SA"/>
              </w:rPr>
              <w:t>ZADANIE /DZIAŁANIE  W PROJEKCIE</w:t>
            </w:r>
          </w:p>
        </w:tc>
        <w:tc>
          <w:tcPr>
            <w:tcW w:w="256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Kwota netto (PLN)</w:t>
            </w:r>
          </w:p>
        </w:tc>
        <w:tc>
          <w:tcPr>
            <w:tcW w:w="215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Kwota brutto (PLN)</w:t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</w:r>
          </w:p>
          <w:p>
            <w:pPr>
              <w:pStyle w:val="Zawartotabeliuser"/>
              <w:widowControl w:val="false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ascii="Tahoma" w:hAnsi="Tahoma"/>
                <w:sz w:val="21"/>
                <w:szCs w:val="21"/>
              </w:rPr>
            </w:r>
          </w:p>
          <w:p>
            <w:pPr>
              <w:pStyle w:val="Zawartotabeliuser"/>
              <w:widowControl w:val="false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VAT%</w:t>
            </w:r>
          </w:p>
          <w:p>
            <w:pPr>
              <w:pStyle w:val="Zawartotabeliuser"/>
              <w:widowControl w:val="false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ascii="Tahoma" w:hAnsi="Tahoma"/>
                <w:sz w:val="21"/>
                <w:szCs w:val="21"/>
              </w:rPr>
            </w:r>
          </w:p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</w:r>
          </w:p>
        </w:tc>
      </w:tr>
      <w:tr>
        <w:trPr/>
        <w:tc>
          <w:tcPr>
            <w:tcW w:w="345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Opisy Lekarskie AI</w:t>
            </w:r>
          </w:p>
          <w:p>
            <w:pPr>
              <w:pStyle w:val="Normal"/>
              <w:bidi w:val="0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(3 licencje użytkownika) wraz z wdrożeniem</w:t>
            </w:r>
          </w:p>
          <w:p>
            <w:pPr>
              <w:pStyle w:val="Normal"/>
              <w:bidi w:val="0"/>
              <w:spacing w:before="0" w:after="160"/>
              <w:jc w:val="center"/>
              <w:rPr>
                <w:rFonts w:ascii="Tahoma" w:hAnsi="Tahoma" w:cs="Tahoma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ahoma" w:ascii="Tahoma" w:hAnsi="Tahoma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0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color w:val="000000"/>
                <w:sz w:val="20"/>
                <w:szCs w:val="20"/>
                <w:lang w:val="pl-PL" w:bidi="ar-SA"/>
              </w:rPr>
              <w:t>1 kpl.</w:t>
            </w:r>
          </w:p>
        </w:tc>
        <w:tc>
          <w:tcPr>
            <w:tcW w:w="428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start"/>
              <w:rPr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20"/>
                <w:szCs w:val="20"/>
                <w:lang w:val="pl-PL" w:bidi="ar-SA"/>
              </w:rPr>
              <w:t>ZADANIE 4</w:t>
            </w:r>
            <w:r>
              <w:rPr>
                <w:rFonts w:cs="Tahoma" w:ascii="Tahoma" w:hAnsi="Tahoma"/>
                <w:color w:val="000000"/>
                <w:sz w:val="20"/>
                <w:szCs w:val="20"/>
                <w:lang w:val="pl-PL" w:bidi="ar-SA"/>
              </w:rPr>
              <w:t xml:space="preserve"> – Wdrożenie rozwiązań AI i podłączenie do centralnego repozytorium danych medycznych / </w:t>
            </w:r>
            <w:r>
              <w:rPr>
                <w:rFonts w:cs="Tahoma" w:ascii="Tahoma" w:hAnsi="Tahoma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DZIAŁANIE II </w:t>
            </w:r>
            <w:r>
              <w:rPr>
                <w:rFonts w:cs="Tahoma" w:ascii="Tahoma" w:hAnsi="Tahoma"/>
                <w:color w:val="000000"/>
                <w:sz w:val="20"/>
                <w:szCs w:val="20"/>
                <w:lang w:val="pl-PL" w:bidi="ar-SA"/>
              </w:rPr>
              <w:t>– Zakup innych narzędzi lub systemów wykorzystujacych algorytmy AI, służących optymalizacji procesów szpitalnych oraz organizacji pracy personelu medycznegolub niemedycznego</w:t>
            </w:r>
          </w:p>
        </w:tc>
        <w:tc>
          <w:tcPr>
            <w:tcW w:w="256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tLeast" w:line="300" w:before="0" w:after="200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/>
                <w:color w:val="000000"/>
                <w:sz w:val="20"/>
                <w:szCs w:val="20"/>
              </w:rPr>
            </w:r>
          </w:p>
        </w:tc>
        <w:tc>
          <w:tcPr>
            <w:tcW w:w="215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>
          <w:trHeight w:val="519" w:hRule="atLeast"/>
        </w:trPr>
        <w:tc>
          <w:tcPr>
            <w:tcW w:w="877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spacing w:before="0" w:after="200"/>
              <w:jc w:val="end"/>
              <w:rPr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  <w:t>RAZEM:</w:t>
            </w:r>
          </w:p>
        </w:tc>
        <w:tc>
          <w:tcPr>
            <w:tcW w:w="256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15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trike w:val="false"/>
                <w:dstrike w:val="false"/>
                <w:sz w:val="20"/>
                <w:szCs w:val="20"/>
              </w:rPr>
              <w:t>---</w:t>
            </w:r>
          </w:p>
        </w:tc>
      </w:tr>
      <w:tr>
        <w:trPr/>
        <w:tc>
          <w:tcPr>
            <w:tcW w:w="8778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spacing w:before="0" w:after="200"/>
              <w:jc w:val="end"/>
              <w:rPr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  <w:t>SŁOWNIE WARTOŚĆ  BRUTTO</w:t>
            </w:r>
          </w:p>
        </w:tc>
        <w:tc>
          <w:tcPr>
            <w:tcW w:w="5508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rPr>
                <w:rFonts w:ascii="Tahoma" w:hAnsi="Tahoma" w:cs="Tahoma"/>
                <w:b w:val="false"/>
                <w:bCs w:val="false"/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</w:r>
          </w:p>
        </w:tc>
      </w:tr>
    </w:tbl>
    <w:p>
      <w:pPr>
        <w:pStyle w:val="Normal"/>
        <w:spacing w:lineRule="atLeast" w:line="102" w:before="280" w:after="119"/>
        <w:jc w:val="center"/>
        <w:rPr>
          <w:rFonts w:ascii="Cambria" w:hAnsi="Cambria" w:cs="Cambria"/>
          <w:b/>
          <w:bCs/>
          <w:color w:val="00000A"/>
          <w:szCs w:val="22"/>
        </w:rPr>
      </w:pPr>
      <w:r>
        <w:rPr>
          <w:rFonts w:cs="Cambria" w:ascii="Cambria" w:hAnsi="Cambria"/>
          <w:b/>
          <w:bCs/>
          <w:color w:val="00000A"/>
          <w:szCs w:val="22"/>
        </w:rPr>
      </w:r>
    </w:p>
    <w:p>
      <w:pPr>
        <w:pStyle w:val="Normal"/>
        <w:spacing w:lineRule="atLeast" w:line="102" w:before="280" w:after="119"/>
        <w:jc w:val="center"/>
        <w:rPr>
          <w:rFonts w:ascii="Cambria" w:hAnsi="Cambria" w:cs="Cambria"/>
          <w:b/>
          <w:bCs/>
          <w:color w:val="00000A"/>
          <w:szCs w:val="22"/>
        </w:rPr>
      </w:pPr>
      <w:r>
        <w:rPr>
          <w:rFonts w:cs="Cambria" w:ascii="Cambria" w:hAnsi="Cambria"/>
          <w:b/>
          <w:bCs/>
          <w:color w:val="00000A"/>
          <w:szCs w:val="22"/>
        </w:rPr>
      </w:r>
    </w:p>
    <w:p>
      <w:pPr>
        <w:pStyle w:val="Normal"/>
        <w:jc w:val="end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 xml:space="preserve">                                                                                </w:t>
      </w: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>....................................................................</w:t>
      </w:r>
    </w:p>
    <w:p>
      <w:pPr>
        <w:pStyle w:val="Normal"/>
        <w:jc w:val="center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sz w:val="21"/>
          <w:szCs w:val="21"/>
        </w:rPr>
        <w:t xml:space="preserve">                                                                                                                                               </w:t>
      </w:r>
      <w:r>
        <w:rPr>
          <w:rFonts w:cs="Tahoma" w:ascii="Tahoma" w:hAnsi="Tahoma"/>
          <w:b w:val="false"/>
          <w:bCs w:val="false"/>
          <w:sz w:val="16"/>
          <w:szCs w:val="16"/>
        </w:rPr>
        <w:t xml:space="preserve">  </w:t>
      </w:r>
      <w:r>
        <w:rPr>
          <w:rFonts w:cs="Century Gothic" w:ascii="Tahoma" w:hAnsi="Tahoma"/>
          <w:sz w:val="16"/>
          <w:szCs w:val="16"/>
        </w:rPr>
        <w:t>podpis osoby uprawnionej</w:t>
      </w:r>
    </w:p>
    <w:p>
      <w:pPr>
        <w:pStyle w:val="Normal"/>
        <w:jc w:val="center"/>
        <w:rPr>
          <w:sz w:val="16"/>
          <w:szCs w:val="16"/>
        </w:rPr>
      </w:pPr>
      <w:r>
        <w:rPr>
          <w:rFonts w:eastAsia="Century Gothic" w:cs="Century Gothic" w:ascii="Tahoma" w:hAnsi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cs="Century Gothic" w:ascii="Tahoma" w:hAnsi="Tahoma"/>
          <w:sz w:val="16"/>
          <w:szCs w:val="16"/>
        </w:rPr>
        <w:t>do składania oświadczeń woli w imieniu Wykonawcy</w:t>
      </w:r>
    </w:p>
    <w:p>
      <w:pPr>
        <w:pStyle w:val="Normal"/>
        <w:ind w:hanging="0" w:start="0"/>
        <w:rPr>
          <w:rFonts w:ascii="Tahoma" w:hAnsi="Tahoma" w:cs="Calibri" w:cstheme="minorHAnsi"/>
          <w:sz w:val="21"/>
          <w:szCs w:val="21"/>
        </w:rPr>
      </w:pPr>
      <w:r>
        <w:rPr>
          <w:rFonts w:cs="Calibri" w:cstheme="minorHAnsi" w:ascii="Tahoma" w:hAnsi="Tahoma"/>
          <w:sz w:val="21"/>
          <w:szCs w:val="21"/>
        </w:rPr>
      </w:r>
    </w:p>
    <w:p>
      <w:pPr>
        <w:pStyle w:val="Normal"/>
        <w:widowControl w:val="false"/>
        <w:suppressAutoHyphens w:val="tru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59" w:before="0" w:after="160"/>
        <w:ind w:hanging="0" w:start="0"/>
        <w:contextualSpacing/>
        <w:rPr>
          <w:rFonts w:eastAsia="" w:eastAsiaTheme="minorEastAsia"/>
          <w:highlight w:val="yellow"/>
        </w:rPr>
      </w:pPr>
      <w:r>
        <w:rPr>
          <w:rFonts w:eastAsia="" w:eastAsiaTheme="minorEastAsia"/>
          <w:highlight w:val="yellow"/>
        </w:rPr>
      </w:r>
    </w:p>
    <w:p>
      <w:pPr>
        <w:pStyle w:val="Normal"/>
        <w:widowControl w:val="false"/>
        <w:suppressAutoHyphens w:val="tru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  <w:t xml:space="preserve">PAKIET NR </w:t>
      </w:r>
      <w:r>
        <w:rPr>
          <w:rFonts w:cs="Calibri" w:cstheme="minorHAnsi"/>
          <w:b/>
          <w:color w:val="auto"/>
        </w:rPr>
        <w:t>2</w:t>
      </w:r>
    </w:p>
    <w:p>
      <w:pPr>
        <w:pStyle w:val="Normal"/>
        <w:widowControl w:val="false"/>
        <w:suppressAutoHyphens w:val="tru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  <w:t xml:space="preserve">     </w:t>
      </w:r>
      <w:r>
        <w:rPr>
          <w:rFonts w:cs="Cambria" w:ascii="Cambria" w:hAnsi="Cambria"/>
          <w:b/>
          <w:bCs/>
          <w:color w:val="00000A"/>
        </w:rPr>
        <w:t xml:space="preserve">OPIS PRZEDMIOTU ZAMÓWIENIA </w:t>
      </w:r>
    </w:p>
    <w:p>
      <w:pPr>
        <w:pStyle w:val="Normal"/>
        <w:widowControl w:val="false"/>
        <w:suppressAutoHyphens w:val="tru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mbria" w:ascii="Cambria" w:hAnsi="Cambria"/>
          <w:b/>
          <w:bCs/>
          <w:color w:val="00000A"/>
        </w:rPr>
        <w:t xml:space="preserve"> </w:t>
      </w:r>
      <w:r>
        <w:rPr>
          <w:rFonts w:cs="Cambria" w:ascii="Cambria" w:hAnsi="Cambria"/>
          <w:b/>
          <w:bCs/>
          <w:color w:val="00000A"/>
        </w:rPr>
        <w:t>FORMULARZ PARAMETRÓW TECHNICZNYCH</w:t>
      </w:r>
    </w:p>
    <w:p>
      <w:pPr>
        <w:pStyle w:val="Normal"/>
        <w:widowControl w:val="false"/>
        <w:suppressAutoHyphens w:val="tru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mbria" w:ascii="Cambria" w:hAnsi="Cambria"/>
          <w:b/>
          <w:bCs/>
          <w:color w:val="00000A"/>
          <w:szCs w:val="22"/>
        </w:rPr>
        <w:t xml:space="preserve">MINIMALNE WYMAGANE PARAMETRY I FUNKCJE 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59" w:before="0" w:after="160"/>
        <w:ind w:hanging="0" w:start="0"/>
        <w:contextualSpacing/>
        <w:rPr>
          <w:rFonts w:eastAsia="" w:eastAsiaTheme="minorEastAsia"/>
          <w:highlight w:val="yellow"/>
        </w:rPr>
      </w:pPr>
      <w:r>
        <w:rPr>
          <w:rFonts w:eastAsia="" w:eastAsiaTheme="minorEastAsia"/>
          <w:highlight w:val="yellow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59" w:before="0" w:after="160"/>
        <w:ind w:hanging="0" w:start="0"/>
        <w:contextualSpacing/>
        <w:rPr>
          <w:rFonts w:eastAsia="" w:eastAsiaTheme="minorEastAsia"/>
          <w:highlight w:val="yellow"/>
        </w:rPr>
      </w:pPr>
      <w:r>
        <w:rPr>
          <w:rFonts w:eastAsia="" w:eastAsiaTheme="minorEastAsia"/>
          <w:highlight w:val="yellow"/>
        </w:rPr>
      </w:r>
    </w:p>
    <w:p>
      <w:pPr>
        <w:pStyle w:val="ListParagraph"/>
        <w:spacing w:lineRule="auto" w:line="240"/>
        <w:jc w:val="center"/>
        <w:rPr>
          <w:b/>
          <w:bCs/>
        </w:rPr>
      </w:pPr>
      <w:r>
        <w:rPr>
          <w:rFonts w:eastAsia="Times New Roman"/>
          <w:b/>
          <w:bCs/>
          <w:color w:val="00B0F0"/>
          <w:sz w:val="32"/>
          <w:szCs w:val="32"/>
          <w:lang w:eastAsia="pl-PL"/>
        </w:rPr>
        <w:t>Opisy Lekarskie AI (wariant dla oddziału)</w:t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Wymagania funkcjonalne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Opis wszystkich funkcjonalności oraz zależności w ramach modułu, w podziale: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rPr>
          <w:b/>
          <w:bCs/>
        </w:rPr>
      </w:pPr>
      <w:r>
        <w:rPr>
          <w:b/>
          <w:bCs/>
        </w:rPr>
        <w:t>Wymagania funkcjonalne</w:t>
      </w:r>
    </w:p>
    <w:p>
      <w:pPr>
        <w:pStyle w:val="ListParagraph"/>
        <w:numPr>
          <w:ilvl w:val="1"/>
          <w:numId w:val="6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umożliwiać generowanie opisów lekarskich przy wykorzystaniu algorytmu sztucznej inteligencji oraz danych gromadzonych przez system HIS.</w:t>
      </w:r>
    </w:p>
    <w:p>
      <w:pPr>
        <w:pStyle w:val="ListParagraph"/>
        <w:numPr>
          <w:ilvl w:val="1"/>
          <w:numId w:val="6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umożliwiać definiowanie zakresu informacji uwzględnianych w wygenerowanym opisie, przy użyciu konfiguratora generacji.</w:t>
      </w:r>
    </w:p>
    <w:p>
      <w:pPr>
        <w:pStyle w:val="ListParagraph"/>
        <w:numPr>
          <w:ilvl w:val="1"/>
          <w:numId w:val="6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umożliwiać użytkownikowi zatwierdzanie wygenerowanego opisu oraz jego ręczne dostosowanie.</w:t>
      </w:r>
    </w:p>
    <w:p>
      <w:pPr>
        <w:pStyle w:val="ListParagraph"/>
        <w:numPr>
          <w:ilvl w:val="1"/>
          <w:numId w:val="6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zapewniać pseudonimizację danych przekazywanych do narzędzia AI (LLM).</w:t>
      </w:r>
    </w:p>
    <w:p>
      <w:pPr>
        <w:pStyle w:val="ListParagraph"/>
        <w:numPr>
          <w:ilvl w:val="1"/>
          <w:numId w:val="6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uwzględniać specyfikę języka medycznego oraz jego notacji, np.: dawkowanie leków, notacje granic referencyjnych itp.</w:t>
      </w:r>
    </w:p>
    <w:p>
      <w:pPr>
        <w:pStyle w:val="ListParagraph"/>
        <w:numPr>
          <w:ilvl w:val="1"/>
          <w:numId w:val="6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weryfikować wygenerowane treści pod kątem gramatyki, ortografii, jednolitej notacji (np. dawek leków, wyników złożonych), a także poprawności terminologii w języku polskim, łacińskim i angielskim oraz zgodności z obowiązującymi kodami i skrótami.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Wewnętrzne integracje: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Funkcjonalność dostępna jest dla użytkownika w systemie HIS oraz typu dashboard (pulpitowym, dostępnym na dowolnym urządzeniu). Dla obu wariantów odpowiedzi na żądania użytkownika generowane są za pośrednictwem dostępnych w</w:t>
      </w:r>
      <w:r>
        <w:rPr>
          <w:rFonts w:eastAsia="Aptos" w:cs="Aptos" w:ascii="Aptos" w:hAnsi="Aptos"/>
          <w:color w:themeColor="text1" w:val="000000"/>
        </w:rPr>
        <w:t xml:space="preserve"> platformie chmurowej</w:t>
      </w:r>
      <w:r>
        <w:rPr/>
        <w:t xml:space="preserve"> usług AI (LLM)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Środowisko systemu HIS oraz platformy integracyjnej:</w:t>
      </w:r>
    </w:p>
    <w:p>
      <w:pPr>
        <w:pStyle w:val="Normal"/>
        <w:numPr>
          <w:ilvl w:val="2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posiada dostęp do środowiska chmurowego (z zainstalowanymi usługami AI) z wykorzystaniem połączenia VPN,</w:t>
      </w:r>
    </w:p>
    <w:p>
      <w:pPr>
        <w:pStyle w:val="Normal"/>
        <w:numPr>
          <w:ilvl w:val="2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ma dopuszczony do komunikacji ruch na porcie 443.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>
          <w:rFonts w:eastAsia="" w:eastAsiaTheme="minorEastAsia"/>
          <w:color w:themeColor="text1" w:val="000000"/>
        </w:rPr>
      </w:pPr>
      <w:r>
        <w:rPr>
          <w:rFonts w:eastAsia="Aptos" w:cs="Aptos" w:ascii="Aptos" w:hAnsi="Aptos"/>
          <w:color w:themeColor="text1" w:val="000000"/>
        </w:rPr>
        <w:t>Opisy lekarskie AI jako moduł dostępny w ramach platformy chmurowej</w:t>
      </w:r>
      <w:r>
        <w:rPr/>
        <w:t xml:space="preserve"> usług AI</w:t>
      </w:r>
      <w:r>
        <w:rPr>
          <w:rFonts w:eastAsia="Aptos" w:cs="Aptos" w:ascii="Aptos" w:hAnsi="Aptos"/>
          <w:color w:themeColor="text1" w:val="000000"/>
        </w:rPr>
        <w:t xml:space="preserve">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Zależności między modułami: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/>
        <w:t>Zainstalowany i skonfigurowany HIS z uruchomionym modułem Ruch Chorych.</w:t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Kryteria odbioru produktu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Lista mierzalnych i jednoznacznych kryteriów potwierdzających zakończenie prac i gotowość do odbioru:</w:t>
      </w:r>
    </w:p>
    <w:p>
      <w:pPr>
        <w:pStyle w:val="Normal"/>
        <w:tabs>
          <w:tab w:val="clear" w:pos="708"/>
          <w:tab w:val="left" w:pos="993" w:leader="none"/>
        </w:tabs>
        <w:ind w:start="720"/>
        <w:jc w:val="both"/>
        <w:rPr/>
      </w:pPr>
      <w:r>
        <w:rPr/>
        <w:t>Produkt zostanie uznany za zgodny funkcjonalnie, jeśli: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259" w:before="0" w:after="160"/>
        <w:jc w:val="both"/>
        <w:rPr/>
      </w:pPr>
      <w:r>
        <w:rPr/>
        <w:t>Umożliwia wygenerowanie opisu lekarskiego, którego treść oparta jest o dane pochodzące z bazy systemu dziedzinowego HIS, w tym minimum dane o pacjencie, obserwacje, wyniki badań, zaplanowane konsultacje i badania, ordynowane leki oraz diety.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259" w:before="0" w:after="160"/>
        <w:jc w:val="both"/>
        <w:rPr/>
      </w:pPr>
      <w:r>
        <w:rPr/>
        <w:t>Umożliwia określnie, które składowe powinny stanowić bazę dla generowanego opisu lekarskiego oraz z jakim poziomem szczegółowości.</w:t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Wymagania do uruchomienia produktu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Lista zasobów, zależności i warunków koniecznych do uruchomienia modułu: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59" w:before="0" w:after="160"/>
        <w:rPr>
          <w:b/>
          <w:bCs/>
        </w:rPr>
      </w:pPr>
      <w:r>
        <w:rPr>
          <w:b/>
          <w:bCs/>
        </w:rPr>
        <w:t>Warunki startowe (minimalna wersja AMMS)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Licencja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Działająca komunikacja z NFZ,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Wdrożony i prawidłowo skonfigurowany: Ruch Chorych HIS.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59" w:before="0" w:after="160"/>
        <w:rPr>
          <w:b/>
          <w:bCs/>
        </w:rPr>
      </w:pPr>
      <w:r>
        <w:rPr>
          <w:b/>
          <w:bCs/>
        </w:rPr>
        <w:t>Wymagania techniczne: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Dostęp do środowiska chmurowego (z zainstalowanymi usługami AI) z wykorzystaniem VPN,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Dopuszczony ruch na porcie 443 na maszynie wirtualnej z  HIS, na której zainstalowano Platformę Integracyjną do komunikacji,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Dostęp do środowisk klienckich z możliwością konfiguracji powyższych usług.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rPr>
          <w:highlight w:val="yellow"/>
        </w:rPr>
      </w:pPr>
      <w:r>
        <w:rPr>
          <w:highlight w:val="yellow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Wymagania organizacyjne: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Uruchomione w ramach oddziału zlecenia leków,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Dostęp do wyników badań z poziomu systemu HIS.</w:t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Opis wdrożenia 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Opis tego, co musi zostać uruchomione i skonfigurowane w ramach wdrożenia: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720"/>
        <w:rPr/>
      </w:pPr>
      <w:r>
        <w:rPr>
          <w:b/>
          <w:bCs/>
        </w:rPr>
        <w:t>Elementy do uruchomienia: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Licencja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720"/>
        <w:rPr/>
      </w:pPr>
      <w:r>
        <w:rPr>
          <w:b/>
          <w:bCs/>
        </w:rPr>
        <w:t>Parametryzacja środowiska: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Wgranie licencji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Konfiguracja w ramach systemu HIS,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Nadanie uprawnień dla użytkowników/JOSów.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720"/>
        <w:rPr/>
      </w:pPr>
      <w:r>
        <w:rPr>
          <w:b/>
          <w:bCs/>
        </w:rPr>
        <w:t>Kolejność uruchamiania komponentów: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Serwer HIS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Wdrożeni kończy się na instalacji systemu.</w:t>
      </w:r>
    </w:p>
    <w:p>
      <w:pPr>
        <w:pStyle w:val="Normal"/>
        <w:jc w:val="end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 xml:space="preserve">      </w:t>
      </w: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>....................................................................</w:t>
      </w:r>
    </w:p>
    <w:p>
      <w:pPr>
        <w:pStyle w:val="Normal"/>
        <w:spacing w:before="0" w:after="0"/>
        <w:jc w:val="center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sz w:val="21"/>
          <w:szCs w:val="21"/>
        </w:rPr>
        <w:t xml:space="preserve">                                                                                                                                               </w:t>
      </w:r>
      <w:r>
        <w:rPr>
          <w:rFonts w:cs="Tahoma" w:ascii="Tahoma" w:hAnsi="Tahoma"/>
          <w:b w:val="false"/>
          <w:bCs w:val="false"/>
          <w:sz w:val="16"/>
          <w:szCs w:val="16"/>
        </w:rPr>
        <w:t xml:space="preserve">  </w:t>
      </w:r>
      <w:r>
        <w:rPr>
          <w:rFonts w:cs="Century Gothic" w:ascii="Tahoma" w:hAnsi="Tahoma"/>
          <w:sz w:val="16"/>
          <w:szCs w:val="16"/>
        </w:rPr>
        <w:t>podpis osoby uprawnionej</w:t>
      </w:r>
    </w:p>
    <w:p>
      <w:pPr>
        <w:pStyle w:val="Normal"/>
        <w:spacing w:before="0" w:after="0"/>
        <w:jc w:val="center"/>
        <w:rPr/>
      </w:pPr>
      <w:r>
        <w:rPr>
          <w:rFonts w:eastAsia="Century Gothic" w:cs="Century Gothic" w:ascii="Tahoma" w:hAnsi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cs="Century Gothic" w:ascii="Tahoma" w:hAnsi="Tahoma"/>
          <w:sz w:val="16"/>
          <w:szCs w:val="16"/>
        </w:rPr>
        <w:t>do składania oświadczeń woli w imieniu Wykonawcy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rPr>
          <w:highlight w:val="yellow"/>
        </w:rPr>
      </w:pPr>
      <w:r>
        <w:rPr>
          <w:highlight w:val="yellow"/>
        </w:rPr>
      </w:r>
    </w:p>
    <w:p>
      <w:pPr>
        <w:pStyle w:val="ListParagraph"/>
        <w:spacing w:lineRule="auto" w:line="240" w:before="0" w:after="200"/>
        <w:contextualSpacing/>
        <w:jc w:val="center"/>
        <w:rPr>
          <w:b/>
          <w:bCs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134" w:gutter="0" w:header="1410" w:top="2730" w:footer="86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Aptos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18915667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jc w:val="center"/>
      <w:rPr>
        <w:rStyle w:val="PageNumber"/>
        <w:sz w:val="16"/>
      </w:rPr>
    </w:pPr>
    <w:r>
      <w:rPr>
        <w:sz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18915667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jc w:val="center"/>
      <w:rPr>
        <w:rStyle w:val="PageNumber"/>
        <w:sz w:val="16"/>
      </w:rPr>
    </w:pPr>
    <w:r>
      <w:rPr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9071610" cy="658495"/>
          <wp:effectExtent l="0" t="0" r="0" b="0"/>
          <wp:docPr id="1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3" t="-1333" r="-133" b="-1333"/>
                  <a:stretch>
                    <a:fillRect/>
                  </a:stretch>
                </pic:blipFill>
                <pic:spPr bwMode="auto">
                  <a:xfrm>
                    <a:off x="0" y="0"/>
                    <a:ext cx="90716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9071610" cy="658495"/>
          <wp:effectExtent l="0" t="0" r="0" b="0"/>
          <wp:docPr id="2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3" t="-1333" r="-133" b="-1333"/>
                  <a:stretch>
                    <a:fillRect/>
                  </a:stretch>
                </pic:blipFill>
                <pic:spPr bwMode="auto">
                  <a:xfrm>
                    <a:off x="0" y="0"/>
                    <a:ext cx="90716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§ %1."/>
      <w:lvlJc w:val="start"/>
      <w:pPr>
        <w:tabs>
          <w:tab w:val="num" w:pos="851"/>
        </w:tabs>
        <w:ind w:start="0" w:hanging="0"/>
      </w:pPr>
      <w:rPr>
        <w:sz w:val="22"/>
        <w:i w:val="false"/>
        <w:b/>
        <w:szCs w:val="20"/>
        <w:rFonts w:ascii="Calibri" w:hAnsi="Calibri" w:cs="Times New Roman"/>
      </w:rPr>
    </w:lvl>
    <w:lvl w:ilvl="1">
      <w:start w:val="1"/>
      <w:isLgl/>
      <w:numFmt w:val="decimal"/>
      <w:lvlText w:val="%2."/>
      <w:lvlJc w:val="start"/>
      <w:pPr>
        <w:tabs>
          <w:tab w:val="num" w:pos="0"/>
        </w:tabs>
        <w:ind w:start="567" w:hanging="567"/>
      </w:pPr>
      <w:rPr/>
    </w:lvl>
    <w:lvl w:ilvl="2">
      <w:start w:val="1"/>
      <w:isLgl/>
      <w:numFmt w:val="decimal"/>
      <w:lvlText w:val="%2.%3"/>
      <w:lvlJc w:val="end"/>
      <w:pPr>
        <w:tabs>
          <w:tab w:val="num" w:pos="0"/>
        </w:tabs>
        <w:ind w:start="907" w:hanging="170"/>
      </w:pPr>
      <w:rPr/>
    </w:lvl>
    <w:lvl w:ilvl="3">
      <w:start w:val="1"/>
      <w:numFmt w:val="lowerLetter"/>
      <w:lvlText w:val="%4."/>
      <w:lvlJc w:val="start"/>
      <w:pPr>
        <w:tabs>
          <w:tab w:val="num" w:pos="0"/>
        </w:tabs>
        <w:ind w:start="907" w:hanging="283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1247" w:hanging="283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341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6061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781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501" w:hanging="180"/>
      </w:pPr>
      <w:rPr/>
    </w:lvl>
  </w:abstractNum>
  <w:abstractNum w:abstractNumId="2">
    <w:lvl w:ilvl="0">
      <w:start w:val="1"/>
      <w:numFmt w:val="decimal"/>
      <w:lvlText w:val="%1."/>
      <w:lvlJc w:val="end"/>
      <w:pPr>
        <w:tabs>
          <w:tab w:val="num" w:pos="0"/>
        </w:tabs>
        <w:ind w:start="360" w:hanging="360"/>
      </w:pPr>
      <w:rPr>
        <w:dstrike w:val="false"/>
        <w:strike w:val="false"/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3">
    <w:lvl w:ilvl="0">
      <w:start w:val="1"/>
      <w:numFmt w:val="decimal"/>
      <w:lvlText w:val="%1."/>
      <w:lvlJc w:val="end"/>
      <w:pPr>
        <w:tabs>
          <w:tab w:val="num" w:pos="0"/>
        </w:tabs>
        <w:ind w:start="360" w:hanging="360"/>
      </w:pPr>
      <w:rPr>
        <w:dstrike w:val="false"/>
        <w:strike w:val="false"/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>
        <w:i w:val="false"/>
        <w:iCs w:val="false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6">
    <w:lvl w:ilvl="0">
      <w:start w:val="1"/>
      <w:numFmt w:val="decimal"/>
      <w:lvlText w:val="%1."/>
      <w:lvlJc w:val="end"/>
      <w:pPr>
        <w:tabs>
          <w:tab w:val="num" w:pos="0"/>
        </w:tabs>
        <w:ind w:start="360" w:hanging="360"/>
      </w:pPr>
      <w:rPr>
        <w:dstrike w:val="false"/>
        <w:strike w:val="false"/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c290f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b478bb"/>
    <w:pPr>
      <w:keepNext w:val="true"/>
      <w:keepLines/>
      <w:spacing w:lineRule="auto" w:line="240"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513707"/>
    <w:pPr>
      <w:keepNext w:val="true"/>
      <w:keepLines/>
      <w:spacing w:lineRule="auto" w:line="259" w:before="160" w:after="8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513707"/>
    <w:pPr>
      <w:keepNext w:val="true"/>
      <w:keepLines/>
      <w:spacing w:lineRule="auto" w:line="259" w:before="160" w:after="80"/>
      <w:outlineLvl w:val="2"/>
    </w:pPr>
    <w:rPr>
      <w:rFonts w:eastAsia="" w:cs="" w:cstheme="majorBidi" w:eastAsiaTheme="majorEastAsia"/>
      <w:color w:themeColor="accent1" w:themeShade="bf" w:val="365F9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513707"/>
    <w:pPr>
      <w:keepNext w:val="true"/>
      <w:keepLines/>
      <w:spacing w:lineRule="auto" w:line="259" w:before="80" w:after="40"/>
      <w:outlineLvl w:val="3"/>
    </w:pPr>
    <w:rPr>
      <w:rFonts w:eastAsia="" w:cs="" w:cstheme="majorBidi" w:eastAsiaTheme="majorEastAsia"/>
      <w:i/>
      <w:iCs/>
      <w:color w:themeColor="accent1" w:themeShade="bf" w:val="365F91"/>
      <w:kern w:val="2"/>
      <w14:ligatures w14:val="standardContextual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513707"/>
    <w:pPr>
      <w:keepNext w:val="true"/>
      <w:keepLines/>
      <w:spacing w:lineRule="auto" w:line="259" w:before="80" w:after="40"/>
      <w:outlineLvl w:val="4"/>
    </w:pPr>
    <w:rPr>
      <w:rFonts w:eastAsia="" w:cs="" w:cstheme="majorBidi" w:eastAsiaTheme="majorEastAsia"/>
      <w:color w:themeColor="accent1" w:themeShade="bf" w:val="365F91"/>
      <w:kern w:val="2"/>
      <w14:ligatures w14:val="standardContextual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513707"/>
    <w:pPr>
      <w:keepNext w:val="true"/>
      <w:keepLines/>
      <w:spacing w:lineRule="auto" w:line="259"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  <w:kern w:val="2"/>
      <w14:ligatures w14:val="standardContextual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513707"/>
    <w:pPr>
      <w:keepNext w:val="true"/>
      <w:keepLines/>
      <w:spacing w:lineRule="auto" w:line="259" w:before="40" w:after="0"/>
      <w:outlineLvl w:val="6"/>
    </w:pPr>
    <w:rPr>
      <w:rFonts w:eastAsia="" w:cs="" w:cstheme="majorBidi" w:eastAsiaTheme="majorEastAsia"/>
      <w:color w:themeColor="text1" w:themeTint="a6" w:val="595959"/>
      <w:kern w:val="2"/>
      <w14:ligatures w14:val="standardContextual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513707"/>
    <w:pPr>
      <w:keepNext w:val="true"/>
      <w:keepLines/>
      <w:spacing w:lineRule="auto" w:line="259"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  <w:kern w:val="2"/>
      <w14:ligatures w14:val="standardContextual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513707"/>
    <w:pPr>
      <w:keepNext w:val="true"/>
      <w:keepLines/>
      <w:spacing w:lineRule="auto" w:line="259" w:before="0" w:after="0"/>
      <w:outlineLvl w:val="8"/>
    </w:pPr>
    <w:rPr>
      <w:rFonts w:eastAsia="" w:cs="" w:cstheme="majorBidi" w:eastAsiaTheme="majorEastAsia"/>
      <w:color w:themeColor="text1" w:themeTint="d8" w:val="272727"/>
      <w:kern w:val="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9c290f"/>
    <w:rPr>
      <w:b/>
      <w:bCs/>
    </w:rPr>
  </w:style>
  <w:style w:type="character" w:styleId="text" w:customStyle="1">
    <w:name w:val="text"/>
    <w:qFormat/>
    <w:rsid w:val="009c290f"/>
    <w:rPr/>
  </w:style>
  <w:style w:type="character" w:styleId="StopkaZnak" w:customStyle="1">
    <w:name w:val="Stopka Znak"/>
    <w:basedOn w:val="DefaultParagraphFont"/>
    <w:uiPriority w:val="99"/>
    <w:qFormat/>
    <w:rsid w:val="00c12b1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NagwekZnak" w:customStyle="1">
    <w:name w:val="Nagłówek Znak"/>
    <w:basedOn w:val="DefaultParagraphFont"/>
    <w:uiPriority w:val="99"/>
    <w:qFormat/>
    <w:rsid w:val="00c12b1e"/>
    <w:rPr>
      <w:rFonts w:ascii="Calibri" w:hAnsi="Calibri" w:eastAsia="Calibri" w:cs="Times New Roman"/>
      <w:sz w:val="24"/>
      <w:szCs w:val="20"/>
      <w:lang w:eastAsia="ar-SA"/>
    </w:rPr>
  </w:style>
  <w:style w:type="character" w:styleId="PageNumber">
    <w:name w:val="page number"/>
    <w:uiPriority w:val="99"/>
    <w:qFormat/>
    <w:rsid w:val="00c12b1e"/>
    <w:rPr>
      <w:rFonts w:cs="Times New Roman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c12b1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ommentReference">
    <w:name w:val="annotation reference"/>
    <w:uiPriority w:val="99"/>
    <w:qFormat/>
    <w:rsid w:val="00c12b1e"/>
    <w:rPr>
      <w:rFonts w:cs="Times New Roman"/>
      <w:sz w:val="16"/>
      <w:szCs w:val="16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12b1e"/>
    <w:rPr>
      <w:rFonts w:ascii="Tahoma" w:hAnsi="Tahoma" w:eastAsia="Calibri" w:cs="Tahoma"/>
      <w:sz w:val="16"/>
      <w:szCs w:val="16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44cf5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TytuZnak" w:customStyle="1">
    <w:name w:val="Tytuł Znak"/>
    <w:basedOn w:val="DefaultParagraphFont"/>
    <w:uiPriority w:val="10"/>
    <w:qFormat/>
    <w:rsid w:val="00694662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Hyperlink">
    <w:name w:val="Hyperlink"/>
    <w:rsid w:val="008d3461"/>
    <w:rPr>
      <w:color w:val="0000FF"/>
      <w:u w:val="single"/>
    </w:rPr>
  </w:style>
  <w:style w:type="character" w:styleId="Nagwek1Znak" w:customStyle="1">
    <w:name w:val="Nagłówek 1 Znak"/>
    <w:basedOn w:val="DefaultParagraphFont"/>
    <w:uiPriority w:val="9"/>
    <w:qFormat/>
    <w:rsid w:val="00b478bb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b77eb9"/>
    <w:rPr>
      <w:i/>
      <w:iCs/>
      <w:color w:themeColor="accent1" w:themeShade="bf" w:val="365F91"/>
      <w:kern w:val="2"/>
      <w:sz w:val="22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04556d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ef1cc6"/>
    <w:rPr>
      <w:rFonts w:cs="Times New Roman"/>
      <w:color w:val="00000A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ef1cc6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1cc6"/>
    <w:rPr>
      <w:rFonts w:cs="Times New Roman"/>
      <w:color w:val="00000A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ef1cc6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2Znak" w:customStyle="1">
    <w:name w:val="Nagłówek 2 Znak"/>
    <w:basedOn w:val="DefaultParagraphFont"/>
    <w:uiPriority w:val="9"/>
    <w:semiHidden/>
    <w:qFormat/>
    <w:rsid w:val="00513707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  <w14:ligatures w14:val="standardContextual"/>
    </w:rPr>
  </w:style>
  <w:style w:type="character" w:styleId="Nagwek3Znak" w:customStyle="1">
    <w:name w:val="Nagłówek 3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accent1" w:themeShade="bf" w:val="365F91"/>
      <w:kern w:val="2"/>
      <w:sz w:val="28"/>
      <w:szCs w:val="28"/>
      <w14:ligatures w14:val="standardContextual"/>
    </w:rPr>
  </w:style>
  <w:style w:type="character" w:styleId="Nagwek4Znak" w:customStyle="1">
    <w:name w:val="Nagłówek 4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accent1" w:themeShade="bf" w:val="365F91"/>
      <w:kern w:val="2"/>
      <w:sz w:val="22"/>
      <w14:ligatures w14:val="standardContextual"/>
    </w:rPr>
  </w:style>
  <w:style w:type="character" w:styleId="Nagwek5Znak" w:customStyle="1">
    <w:name w:val="Nagłówek 5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accent1" w:themeShade="bf" w:val="365F91"/>
      <w:kern w:val="2"/>
      <w:sz w:val="22"/>
      <w14:ligatures w14:val="standardContextual"/>
    </w:rPr>
  </w:style>
  <w:style w:type="character" w:styleId="Nagwek6Znak" w:customStyle="1">
    <w:name w:val="Nagłówek 6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text1" w:themeTint="a6" w:val="595959"/>
      <w:kern w:val="2"/>
      <w:sz w:val="22"/>
      <w14:ligatures w14:val="standardContextual"/>
    </w:rPr>
  </w:style>
  <w:style w:type="character" w:styleId="Nagwek7Znak" w:customStyle="1">
    <w:name w:val="Nagłówek 7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text1" w:themeTint="a6" w:val="595959"/>
      <w:kern w:val="2"/>
      <w:sz w:val="22"/>
      <w14:ligatures w14:val="standardContextual"/>
    </w:rPr>
  </w:style>
  <w:style w:type="character" w:styleId="Nagwek8Znak" w:customStyle="1">
    <w:name w:val="Nagłówek 8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text1" w:themeTint="d8" w:val="272727"/>
      <w:kern w:val="2"/>
      <w:sz w:val="22"/>
      <w14:ligatures w14:val="standardContextual"/>
    </w:rPr>
  </w:style>
  <w:style w:type="character" w:styleId="Nagwek9Znak" w:customStyle="1">
    <w:name w:val="Nagłówek 9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text1" w:themeTint="d8" w:val="272727"/>
      <w:kern w:val="2"/>
      <w:sz w:val="22"/>
      <w14:ligatures w14:val="standardContextual"/>
    </w:rPr>
  </w:style>
  <w:style w:type="character" w:styleId="PodtytuZnak" w:customStyle="1">
    <w:name w:val="Podtytuł Znak"/>
    <w:basedOn w:val="DefaultParagraphFont"/>
    <w:uiPriority w:val="11"/>
    <w:qFormat/>
    <w:rsid w:val="00513707"/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character" w:styleId="CytatZnak" w:customStyle="1">
    <w:name w:val="Cytat Znak"/>
    <w:basedOn w:val="DefaultParagraphFont"/>
    <w:link w:val="Quote"/>
    <w:uiPriority w:val="29"/>
    <w:qFormat/>
    <w:rsid w:val="00513707"/>
    <w:rPr>
      <w:i/>
      <w:iCs/>
      <w:color w:themeColor="text1" w:themeTint="bf" w:val="404040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3707"/>
    <w:rPr>
      <w:i/>
      <w:iCs/>
      <w:color w:themeColor="accent1" w:themeShade="bf" w:val="365F91"/>
    </w:rPr>
  </w:style>
  <w:style w:type="character" w:styleId="IntenseReference">
    <w:name w:val="Intense Reference"/>
    <w:basedOn w:val="DefaultParagraphFont"/>
    <w:uiPriority w:val="32"/>
    <w:qFormat/>
    <w:rsid w:val="00513707"/>
    <w:rPr>
      <w:b/>
      <w:bCs/>
      <w:smallCaps/>
      <w:color w:themeColor="accent1" w:themeShade="bf" w:val="365F91"/>
      <w:spacing w:val="5"/>
    </w:rPr>
  </w:style>
  <w:style w:type="character" w:styleId="AkapitzlistZnak" w:customStyle="1">
    <w:name w:val="Akapit z listą Znak"/>
    <w:link w:val="ListParagraph"/>
    <w:uiPriority w:val="34"/>
    <w:qFormat/>
    <w:locked/>
    <w:rsid w:val="00513707"/>
    <w:rPr>
      <w:rFonts w:cs="Times New Roman"/>
      <w:color w:val="00000A"/>
      <w:sz w:val="22"/>
    </w:rPr>
  </w:style>
  <w:style w:type="character" w:styleId="normaltextrun" w:customStyle="1">
    <w:name w:val="normaltextrun"/>
    <w:basedOn w:val="DefaultParagraphFont"/>
    <w:qFormat/>
    <w:rsid w:val="00513707"/>
    <w:rPr/>
  </w:style>
  <w:style w:type="character" w:styleId="eop" w:customStyle="1">
    <w:name w:val="eop"/>
    <w:basedOn w:val="DefaultParagraphFont"/>
    <w:qFormat/>
    <w:rsid w:val="00513707"/>
    <w:rPr/>
  </w:style>
  <w:style w:type="character" w:styleId="Domylnaczcionkaakapitu">
    <w:name w:val="Domyślna czcionka akapitu"/>
    <w:qFormat/>
    <w:rPr/>
  </w:style>
  <w:style w:type="paragraph" w:styleId="Nagwek" w:customStyle="1">
    <w:name w:val="Nagłówek"/>
    <w:basedOn w:val="Normal"/>
    <w:next w:val="TextBody"/>
    <w:qFormat/>
    <w:rsid w:val="0007595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rsid w:val="00075954"/>
    <w:pPr/>
    <w:rPr>
      <w:rFonts w:cs="Lucida Sans"/>
    </w:rPr>
  </w:style>
  <w:style w:type="paragraph" w:styleId="Caption">
    <w:name w:val="caption"/>
    <w:basedOn w:val="Normal"/>
    <w:qFormat/>
    <w:rsid w:val="0007595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075954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extBody" w:customStyle="1">
    <w:name w:val="Text Body"/>
    <w:basedOn w:val="Normal"/>
    <w:qFormat/>
    <w:rsid w:val="00075954"/>
    <w:pPr>
      <w:spacing w:lineRule="auto" w:line="288" w:before="0" w:after="140"/>
    </w:pPr>
    <w:rPr/>
  </w:style>
  <w:style w:type="paragraph" w:styleId="NormalWeb">
    <w:name w:val="Normal (Web)"/>
    <w:basedOn w:val="Normal"/>
    <w:uiPriority w:val="99"/>
    <w:unhideWhenUsed/>
    <w:qFormat/>
    <w:rsid w:val="009c290f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c12b1e"/>
    <w:pPr>
      <w:suppressAutoHyphens w:val="tru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Header">
    <w:name w:val="header"/>
    <w:basedOn w:val="Normal"/>
    <w:link w:val="NagwekZnak"/>
    <w:uiPriority w:val="99"/>
    <w:rsid w:val="00c12b1e"/>
    <w:pPr>
      <w:suppressAutoHyphens w:val="true"/>
      <w:spacing w:lineRule="auto" w:line="240" w:before="0" w:after="0"/>
    </w:pPr>
    <w:rPr>
      <w:sz w:val="24"/>
      <w:szCs w:val="20"/>
      <w:lang w:eastAsia="ar-SA"/>
    </w:rPr>
  </w:style>
  <w:style w:type="paragraph" w:styleId="CommentText">
    <w:name w:val="annotation text"/>
    <w:basedOn w:val="Normal"/>
    <w:link w:val="TekstkomentarzaZnak"/>
    <w:uiPriority w:val="99"/>
    <w:qFormat/>
    <w:rsid w:val="00c12b1e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12b1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444cf5"/>
    <w:pPr>
      <w:spacing w:before="0" w:after="200"/>
    </w:pPr>
    <w:rPr>
      <w:rFonts w:ascii="Calibri" w:hAnsi="Calibri" w:eastAsia="Calibri" w:asciiTheme="minorHAnsi" w:eastAsiaTheme="minorHAnsi" w:hAnsiTheme="minorHAnsi"/>
      <w:b/>
      <w:bCs/>
      <w:lang w:eastAsia="en-US"/>
    </w:rPr>
  </w:style>
  <w:style w:type="paragraph" w:styleId="ListParagraph">
    <w:name w:val="List Paragraph"/>
    <w:basedOn w:val="Normal"/>
    <w:link w:val="AkapitzlistZnak"/>
    <w:uiPriority w:val="34"/>
    <w:qFormat/>
    <w:rsid w:val="0089118f"/>
    <w:pPr>
      <w:spacing w:before="0" w:after="200"/>
      <w:ind w:start="720"/>
      <w:contextualSpacing/>
    </w:pPr>
    <w:rPr/>
  </w:style>
  <w:style w:type="paragraph" w:styleId="Revision">
    <w:name w:val="Revision"/>
    <w:uiPriority w:val="99"/>
    <w:semiHidden/>
    <w:qFormat/>
    <w:rsid w:val="00c5341e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694662"/>
    <w:pPr>
      <w:spacing w:lineRule="auto" w:line="240" w:before="0" w:after="0"/>
      <w:contextualSpacing/>
    </w:pPr>
    <w:rPr>
      <w:rFonts w:ascii="Cambria" w:hAnsi="Cambria" w:eastAsia="" w:cs="" w:asciiTheme="majorHAnsi" w:cstheme="majorBidi" w:eastAsiaTheme="majorEastAsia" w:hAnsiTheme="majorHAnsi"/>
      <w:color w:val="auto"/>
      <w:spacing w:val="-10"/>
      <w:kern w:val="2"/>
      <w:sz w:val="56"/>
      <w:szCs w:val="56"/>
    </w:rPr>
  </w:style>
  <w:style w:type="paragraph" w:styleId="Default" w:customStyle="1">
    <w:name w:val="Default"/>
    <w:uiPriority w:val="99"/>
    <w:qFormat/>
    <w:rsid w:val="00b62d33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Arial" w:hAnsi="Arial" w:eastAsia="Times New Roman" w:cs="Arial"/>
      <w:color w:val="000000"/>
      <w:kern w:val="2"/>
      <w:sz w:val="24"/>
      <w:szCs w:val="24"/>
      <w:lang w:val="pl-PL" w:eastAsia="zh-CN" w:bidi="hi-IN"/>
    </w:rPr>
  </w:style>
  <w:style w:type="paragraph" w:styleId="ACPTrerozdziau1" w:customStyle="1">
    <w:name w:val="ACP.Treść rozdziału 1"/>
    <w:basedOn w:val="Normal"/>
    <w:uiPriority w:val="1"/>
    <w:qFormat/>
    <w:rsid w:val="00b478bb"/>
    <w:pPr>
      <w:numPr>
        <w:ilvl w:val="1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Trerozdziau2" w:customStyle="1">
    <w:name w:val="ACP.Treść rozdziału 2"/>
    <w:basedOn w:val="Normal"/>
    <w:uiPriority w:val="2"/>
    <w:qFormat/>
    <w:rsid w:val="00b478bb"/>
    <w:pPr>
      <w:numPr>
        <w:ilvl w:val="2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Listaabc-poziom1" w:customStyle="1">
    <w:name w:val="ACP.Lista abc - poziom 1"/>
    <w:basedOn w:val="Normal"/>
    <w:uiPriority w:val="3"/>
    <w:qFormat/>
    <w:rsid w:val="00b478bb"/>
    <w:pPr>
      <w:numPr>
        <w:ilvl w:val="3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Listaabc-poziom2" w:customStyle="1">
    <w:name w:val="ACP.Lista abc - poziom 2"/>
    <w:basedOn w:val="Normal"/>
    <w:uiPriority w:val="4"/>
    <w:qFormat/>
    <w:rsid w:val="00b478bb"/>
    <w:pPr>
      <w:numPr>
        <w:ilvl w:val="4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Tyturozdziau" w:customStyle="1">
    <w:name w:val="ACP.Tytuł rozdziału"/>
    <w:basedOn w:val="Normal"/>
    <w:next w:val="ACPTrerozdziau1"/>
    <w:qFormat/>
    <w:rsid w:val="00b478bb"/>
    <w:pPr>
      <w:keepNext w:val="true"/>
      <w:numPr>
        <w:ilvl w:val="0"/>
        <w:numId w:val="1"/>
      </w:numPr>
      <w:spacing w:lineRule="auto" w:line="240" w:before="200" w:after="200"/>
    </w:pPr>
    <w:rPr>
      <w:rFonts w:ascii="Calibri" w:hAnsi="Calibri" w:eastAsia="" w:cs="" w:cstheme="minorBidi" w:eastAsiaTheme="minorEastAsia"/>
      <w:b/>
      <w:bCs/>
      <w:caps/>
      <w:color w:themeColor="text1" w:val="000000"/>
      <w:lang w:eastAsia="pl-PL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b77eb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lineRule="auto" w:line="259" w:before="360" w:after="360"/>
      <w:ind w:start="864" w:end="864"/>
      <w:jc w:val="center"/>
    </w:pPr>
    <w:rPr>
      <w:rFonts w:cs="" w:cstheme="minorBidi"/>
      <w:i/>
      <w:iCs/>
      <w:color w:themeColor="accent1" w:themeShade="bf" w:val="365F91"/>
      <w:kern w:val="2"/>
      <w14:ligatures w14:val="standardContextual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ef1cc6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1cc6"/>
    <w:pPr>
      <w:spacing w:lineRule="auto" w:line="240" w:before="0" w:after="0"/>
    </w:pPr>
    <w:rPr>
      <w:sz w:val="20"/>
      <w:szCs w:val="20"/>
    </w:rPr>
  </w:style>
  <w:style w:type="paragraph" w:styleId="Subtitle">
    <w:name w:val="Subtitle"/>
    <w:basedOn w:val="Normal"/>
    <w:next w:val="Normal"/>
    <w:link w:val="PodtytuZnak"/>
    <w:uiPriority w:val="11"/>
    <w:qFormat/>
    <w:rsid w:val="00513707"/>
    <w:pPr>
      <w:spacing w:lineRule="auto" w:line="259" w:before="0" w:after="160"/>
    </w:pPr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ytatZnak"/>
    <w:uiPriority w:val="29"/>
    <w:qFormat/>
    <w:rsid w:val="00513707"/>
    <w:pPr>
      <w:spacing w:lineRule="auto" w:line="259" w:before="160" w:after="160"/>
      <w:jc w:val="center"/>
    </w:pPr>
    <w:rPr>
      <w:rFonts w:cs="" w:cstheme="minorBidi"/>
      <w:i/>
      <w:iCs/>
      <w:color w:themeColor="text1" w:themeTint="bf" w:val="404040"/>
      <w:kern w:val="2"/>
      <w14:ligatures w14:val="standardContextual"/>
    </w:rPr>
  </w:style>
  <w:style w:type="paragraph" w:styleId="NoSpacing">
    <w:name w:val="No Spacing"/>
    <w:uiPriority w:val="1"/>
    <w:qFormat/>
    <w:rsid w:val="00513707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Arial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2b1e"/>
    <w:pPr>
      <w:spacing w:line="240" w:lineRule="auto"/>
    </w:pPr>
    <w:rPr>
      <w:lang w:eastAsia="pl-PL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90A8F65A330A4E89A6582DB5636093" ma:contentTypeVersion="11" ma:contentTypeDescription="Utwórz nowy dokument." ma:contentTypeScope="" ma:versionID="d5e531ab9ddaadfe6faa110e5ef2a86f">
  <xsd:schema xmlns:xsd="http://www.w3.org/2001/XMLSchema" xmlns:xs="http://www.w3.org/2001/XMLSchema" xmlns:p="http://schemas.microsoft.com/office/2006/metadata/properties" xmlns:ns2="e598b026-b4ff-42f7-9764-2ef0e9e40f3c" xmlns:ns3="5a8a969c-b5cf-46f5-8048-2f322d008edb" targetNamespace="http://schemas.microsoft.com/office/2006/metadata/properties" ma:root="true" ma:fieldsID="b98fe6998e8c6d4a26122746cabbbc24" ns2:_="" ns3:_="">
    <xsd:import namespace="e598b026-b4ff-42f7-9764-2ef0e9e40f3c"/>
    <xsd:import namespace="5a8a969c-b5cf-46f5-8048-2f322d008e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8b026-b4ff-42f7-9764-2ef0e9e40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492386f8-c9a8-4063-b817-4d0b25ae35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a969c-b5cf-46f5-8048-2f322d008ed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4dcba1-fd98-43f6-b4a3-9afe0c4f47e3}" ma:internalName="TaxCatchAll" ma:showField="CatchAllData" ma:web="5a8a969c-b5cf-46f5-8048-2f322d008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98b026-b4ff-42f7-9764-2ef0e9e40f3c">
      <Terms xmlns="http://schemas.microsoft.com/office/infopath/2007/PartnerControls"/>
    </lcf76f155ced4ddcb4097134ff3c332f>
    <TaxCatchAll xmlns="5a8a969c-b5cf-46f5-8048-2f322d008edb" xsi:nil="true"/>
  </documentManagement>
</p:properties>
</file>

<file path=customXml/itemProps1.xml><?xml version="1.0" encoding="utf-8"?>
<ds:datastoreItem xmlns:ds="http://schemas.openxmlformats.org/officeDocument/2006/customXml" ds:itemID="{A4B40ABA-9B09-4CF0-AAAB-7BD4E0B82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68E8D-BC60-43C9-B2C3-06A8B4030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8b026-b4ff-42f7-9764-2ef0e9e40f3c"/>
    <ds:schemaRef ds:uri="5a8a969c-b5cf-46f5-8048-2f322d008e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A3A2D-9E29-4816-B416-599ED440EA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3570B9-F212-4F31-BD0F-3F4D4C4AD40F}">
  <ds:schemaRefs>
    <ds:schemaRef ds:uri="http://schemas.microsoft.com/office/2006/metadata/properties"/>
    <ds:schemaRef ds:uri="http://schemas.microsoft.com/office/infopath/2007/PartnerControls"/>
    <ds:schemaRef ds:uri="e598b026-b4ff-42f7-9764-2ef0e9e40f3c"/>
    <ds:schemaRef ds:uri="5a8a969c-b5cf-46f5-8048-2f322d008e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LibreOffice/25.8.3.2$Windows_X86_64 LibreOffice_project/8ca8d55c161d602844f5428fa4b58097424e324e</Application>
  <AppVersion>15.0000</AppVersion>
  <Pages>5</Pages>
  <Words>629</Words>
  <Characters>4318</Characters>
  <CharactersWithSpaces>5769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2025-10-28T04:21:00Z</dcterms:created>
  <dc:creator>JiA</dc:creator>
  <dc:description/>
  <dc:language>pl-PL</dc:language>
  <cp:lastModifiedBy/>
  <cp:lastPrinted>2025-07-22T16:56:00Z</cp:lastPrinted>
  <dcterms:modified xsi:type="dcterms:W3CDTF">2026-02-03T10:51:30Z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0x0101007290A8F65A330A4E89A6582DB5636093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